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4"/>
          <w:szCs w:val="24"/>
        </w:rPr>
      </w:pPr>
      <w:r>
        <w:rPr>
          <w:rFonts w:cs="Times New Roman" w:ascii="Times New Roman" w:hAnsi="Times New Roman"/>
          <w:b/>
          <w:sz w:val="24"/>
          <w:szCs w:val="24"/>
        </w:rPr>
        <w:t>20…-20… ÖĞRETİM YILI …………………. MÜFTÜLÜĞÜ ………………………………………CAMİLERDE KUR’AN ÖĞRETİMİ KURSU KUR’AN-I KERİM (YÜZÜNDEN OKUMA) DERSİ DERS PLANI</w:t>
      </w:r>
    </w:p>
    <w:tbl>
      <w:tblPr>
        <w:tblStyle w:val="TabloKlavuzu1"/>
        <w:tblW w:w="15614" w:type="dxa"/>
        <w:jc w:val="left"/>
        <w:tblInd w:w="0" w:type="dxa"/>
        <w:tblLayout w:type="fixed"/>
        <w:tblCellMar>
          <w:top w:w="0" w:type="dxa"/>
          <w:left w:w="108" w:type="dxa"/>
          <w:bottom w:w="0" w:type="dxa"/>
          <w:right w:w="108" w:type="dxa"/>
        </w:tblCellMar>
        <w:tblLook w:val="04a0"/>
      </w:tblPr>
      <w:tblGrid>
        <w:gridCol w:w="418"/>
        <w:gridCol w:w="422"/>
        <w:gridCol w:w="610"/>
        <w:gridCol w:w="3014"/>
        <w:gridCol w:w="7127"/>
        <w:gridCol w:w="1843"/>
        <w:gridCol w:w="1956"/>
        <w:gridCol w:w="222"/>
      </w:tblGrid>
      <w:tr>
        <w:trPr>
          <w:trHeight w:val="268" w:hRule="atLeast"/>
        </w:trPr>
        <w:tc>
          <w:tcPr>
            <w:tcW w:w="15390" w:type="dxa"/>
            <w:gridSpan w:val="7"/>
            <w:tcBorders/>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KUR’AN-I KERİM (YÜZÜNDEN OKUMA)  1.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692" w:hRule="atLeast"/>
          <w:cantSplit w:val="true"/>
        </w:trPr>
        <w:tc>
          <w:tcPr>
            <w:tcW w:w="418"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eastAsia="Calibri" w:cs="Times New Roman"/>
                <w:kern w:val="0"/>
                <w:sz w:val="12"/>
                <w:szCs w:val="12"/>
                <w:lang w:val="tr-TR" w:eastAsia="en-US" w:bidi="ar-SA"/>
              </w:rPr>
            </w:pPr>
            <w:r>
              <w:rPr>
                <w:rFonts w:eastAsia="Calibri" w:cs="Times New Roman" w:ascii="Times New Roman" w:hAnsi="Times New Roman" w:asciiTheme="majorBidi" w:cstheme="majorBidi" w:hAnsiTheme="majorBidi"/>
                <w:kern w:val="0"/>
                <w:sz w:val="12"/>
                <w:szCs w:val="12"/>
                <w:lang w:val="tr-TR" w:eastAsia="en-US" w:bidi="ar-SA"/>
              </w:rPr>
              <w:t>HAFTA</w:t>
            </w:r>
          </w:p>
        </w:tc>
        <w:tc>
          <w:tcPr>
            <w:tcW w:w="422"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10"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ÜNİTE</w:t>
            </w:r>
          </w:p>
        </w:tc>
        <w:tc>
          <w:tcPr>
            <w:tcW w:w="301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12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843" w:type="dxa"/>
            <w:tcBorders/>
          </w:tcPr>
          <w:p>
            <w:pPr>
              <w:pStyle w:val="Normal"/>
              <w:widowControl w:val="false"/>
              <w:suppressAutoHyphens w:val="true"/>
              <w:spacing w:lineRule="auto" w:line="240" w:before="0" w:after="0"/>
              <w:jc w:val="center"/>
              <w:rPr>
                <w:rFonts w:ascii="Times New Roman" w:hAnsi="Times New Roman" w:eastAsia="Calibri" w:cs="Times New Roman"/>
                <w:kern w:val="0"/>
                <w:sz w:val="14"/>
                <w:szCs w:val="14"/>
                <w:lang w:val="tr-TR" w:eastAsia="en-US" w:bidi="ar-SA"/>
              </w:rPr>
            </w:pPr>
            <w:r>
              <w:rPr>
                <w:rFonts w:eastAsia="Calibri" w:cs="Times New Roman" w:ascii="Times New Roman" w:hAnsi="Times New Roman" w:asciiTheme="majorBidi" w:cstheme="majorBidi" w:hAnsiTheme="majorBidi"/>
                <w:kern w:val="0"/>
                <w:sz w:val="14"/>
                <w:szCs w:val="14"/>
                <w:lang w:val="tr-TR" w:eastAsia="en-US" w:bidi="ar-SA"/>
              </w:rPr>
              <w:t>KULLANILAN EĞİTİM TEKNOLOJİLERİ ARAÇ VE GEREÇLERİ</w:t>
            </w:r>
          </w:p>
        </w:tc>
        <w:tc>
          <w:tcPr>
            <w:tcW w:w="1956"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734" w:hRule="atLeast"/>
        </w:trPr>
        <w:tc>
          <w:tcPr>
            <w:tcW w:w="418" w:type="dxa"/>
            <w:vMerge w:val="restart"/>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10"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KUR’AN-I KERİM OKUMAYA GİRİŞ</w:t>
            </w:r>
          </w:p>
        </w:tc>
        <w:tc>
          <w:tcPr>
            <w:tcW w:w="3014" w:type="dxa"/>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1. Kur’an-ı Kerim-i Tanıma</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 İslam’ın Kur’an-ı Kerim’i Öğrenmeye ve</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Öğretmeye Verdiği Değer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 Kur’an Nasıl Bir Kitaptır?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c. Kur’an-ı Kerim Nelerden Bahseder?</w:t>
            </w:r>
          </w:p>
        </w:tc>
        <w:tc>
          <w:tcPr>
            <w:tcW w:w="712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 Kur’an-ı Kerim’i yüzünden ve ezbere okumanın dinimiz açısından önemine değinilerek kursiyerlerin kursa devam konusunda motive edilmeleri de amaçlanmalıdır. Bu çerçevede Kur’an-ı Kerim ve Hz. Peygamberin Kur’an öğrenme ve öğretmeye verdiği önemle ilgili ayet ve hadislere yer verilebilir. Yine bin yılı aşkın bir süreden beri atalarımızın Kur’an öğretilmesine ve öğrenilmesine verdiği önemin göstergesi olan öğretim merkezleri ve gelenek içinde Kur’an’a verilen önemin göstergesi olan uygulamalardan örnekler verilebilir.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 Kur’an-ı Kerim’in şekil olarak özellikleri üzerinde durulacaktır. Mesela, sure, ayet ve cüzlerden oluştuğu, sağdan okunduğu vb.</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2"/>
                <w:szCs w:val="12"/>
              </w:rPr>
            </w:pPr>
            <w:r>
              <w:rPr>
                <w:rFonts w:eastAsia="Calibri" w:cs="TimesNewRomanPSMT" w:ascii="TimesNewRomanPSMT" w:hAnsi="TimesNewRomanPSMT"/>
                <w:kern w:val="0"/>
                <w:sz w:val="16"/>
                <w:szCs w:val="16"/>
                <w:lang w:val="tr-TR" w:eastAsia="en-US" w:bidi="ar-SA"/>
              </w:rPr>
              <w:t>c. Kur’an’ı Kerim’in bahsettiği konular genel olarak verilecektir</w:t>
            </w:r>
          </w:p>
        </w:tc>
        <w:tc>
          <w:tcPr>
            <w:tcW w:w="1843" w:type="dxa"/>
            <w:vMerge w:val="restart"/>
            <w:tcBorders/>
          </w:tcPr>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ascii="Times New Roman" w:hAnsi="Times New Roman" w:asciiTheme="majorBidi" w:cstheme="majorBidi" w:hAnsiTheme="majorBidi"/>
                <w:kern w:val="0"/>
                <w:sz w:val="16"/>
                <w:szCs w:val="16"/>
                <w:lang w:val="tr-TR" w:eastAsia="tr-TR" w:bidi="ar-SA"/>
              </w:rPr>
              <w:t>Ders Kitabı,</w:t>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bCs/>
                <w:sz w:val="16"/>
                <w:szCs w:val="16"/>
                <w:lang w:eastAsia="tr-TR"/>
              </w:rPr>
            </w:pPr>
            <w:r>
              <w:rPr>
                <w:rFonts w:eastAsia="Times New Roman" w:cs="Times New Roman" w:ascii="Times New Roman" w:hAnsi="Times New Roman" w:asciiTheme="majorBidi" w:cstheme="majorBidi" w:hAnsiTheme="majorBidi"/>
                <w:kern w:val="0"/>
                <w:sz w:val="16"/>
                <w:szCs w:val="16"/>
                <w:lang w:val="tr-TR" w:eastAsia="tr-TR" w:bidi="ar-SA"/>
              </w:rPr>
              <w:t>Yazı Tahtası,</w:t>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bCs/>
                <w:sz w:val="16"/>
                <w:szCs w:val="16"/>
                <w:lang w:eastAsia="tr-TR"/>
              </w:rPr>
            </w:pPr>
            <w:r>
              <w:rPr>
                <w:rFonts w:eastAsia="Times New Roman" w:cs="Times New Roman" w:ascii="Times New Roman" w:hAnsi="Times New Roman" w:asciiTheme="majorBidi" w:cstheme="majorBidi" w:hAnsiTheme="majorBidi"/>
                <w:kern w:val="0"/>
                <w:sz w:val="16"/>
                <w:szCs w:val="16"/>
                <w:lang w:val="tr-TR" w:eastAsia="tr-TR" w:bidi="ar-SA"/>
              </w:rPr>
              <w:t>Kur’an-ı Kerim Meali,</w:t>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ascii="Times New Roman" w:hAnsi="Times New Roman" w:asciiTheme="majorBidi" w:cstheme="majorBidi" w:hAnsiTheme="majorBidi"/>
                <w:kern w:val="0"/>
                <w:sz w:val="16"/>
                <w:szCs w:val="16"/>
                <w:lang w:val="tr-TR" w:eastAsia="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Cs/>
                <w:sz w:val="16"/>
                <w:szCs w:val="16"/>
              </w:rPr>
            </w:pPr>
            <w:r>
              <w:rPr>
                <w:rFonts w:eastAsia="Calibri" w:cs="Times New Roman" w:ascii="Times New Roman" w:hAnsi="Times New Roman" w:asciiTheme="majorBidi" w:cstheme="majorBidi" w:hAnsiTheme="majorBidi"/>
                <w:bCs/>
                <w:kern w:val="0"/>
                <w:sz w:val="16"/>
                <w:szCs w:val="16"/>
                <w:lang w:val="tr-TR" w:eastAsia="en-US" w:bidi="ar-SA"/>
              </w:rPr>
              <w:t>Görsel Materyaller,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Cs/>
                <w:sz w:val="16"/>
                <w:szCs w:val="16"/>
              </w:rPr>
            </w:pPr>
            <w:r>
              <w:rPr>
                <w:rFonts w:eastAsia="Calibri" w:cs="Times New Roman" w:ascii="Times New Roman" w:hAnsi="Times New Roman" w:asciiTheme="majorBidi" w:cstheme="majorBidi" w:hAnsiTheme="majorBidi"/>
                <w:bCs/>
                <w:kern w:val="0"/>
                <w:sz w:val="16"/>
                <w:szCs w:val="16"/>
                <w:lang w:val="tr-TR" w:eastAsia="en-US" w:bidi="ar-SA"/>
              </w:rPr>
              <w:t>Bilgisayar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Cs/>
                <w:sz w:val="16"/>
                <w:szCs w:val="16"/>
              </w:rPr>
            </w:pPr>
            <w:r>
              <w:rPr>
                <w:rFonts w:eastAsia="Calibri" w:cs="Times New Roman" w:ascii="Times New Roman" w:hAnsi="Times New Roman" w:asciiTheme="majorBidi" w:cstheme="majorBidi" w:hAnsiTheme="majorBidi"/>
                <w:bCs/>
                <w:kern w:val="0"/>
                <w:sz w:val="16"/>
                <w:szCs w:val="16"/>
                <w:lang w:val="tr-TR" w:eastAsia="en-US" w:bidi="ar-SA"/>
              </w:rPr>
              <w:t>Projeksiyon</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Cs/>
                <w:sz w:val="16"/>
                <w:szCs w:val="16"/>
              </w:rPr>
            </w:pPr>
            <w:r>
              <w:rPr>
                <w:rFonts w:eastAsia="Calibri" w:cs="Times New Roman" w:ascii="Times New Roman" w:hAnsi="Times New Roman" w:asciiTheme="majorBidi" w:cstheme="majorBidi" w:hAnsiTheme="majorBidi"/>
                <w:bCs/>
                <w:kern w:val="0"/>
                <w:sz w:val="16"/>
                <w:szCs w:val="16"/>
                <w:lang w:val="tr-TR" w:eastAsia="en-US" w:bidi="ar-SA"/>
              </w:rPr>
              <w:t>İlgili CD’ler</w:t>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ascii="Times New Roman" w:hAnsi="Times New Roman" w:asciiTheme="majorBidi" w:cstheme="majorBidi" w:hAnsiTheme="majorBidi"/>
                <w:kern w:val="0"/>
                <w:sz w:val="16"/>
                <w:szCs w:val="16"/>
                <w:lang w:val="tr-TR" w:eastAsia="tr-TR" w:bidi="ar-SA"/>
              </w:rPr>
              <w:t>Kasetçalar</w:t>
            </w:r>
          </w:p>
        </w:tc>
        <w:tc>
          <w:tcPr>
            <w:tcW w:w="1956" w:type="dxa"/>
            <w:tcBorders/>
          </w:tcPr>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20" w:hRule="atLeast"/>
        </w:trPr>
        <w:tc>
          <w:tcPr>
            <w:tcW w:w="418"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42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10" w:type="dxa"/>
            <w:vMerge w:val="continue"/>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cs="Times New Roman" w:cstheme="majorBidi" w:ascii="Times New Roman" w:hAnsi="Times New Roman"/>
                <w:b/>
                <w:bCs/>
                <w:sz w:val="22"/>
                <w:szCs w:val="16"/>
              </w:rPr>
            </w:r>
          </w:p>
        </w:tc>
        <w:tc>
          <w:tcPr>
            <w:tcW w:w="3014"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2. Harfler ve Harekeleri Tanıma</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 Harflerin İsimleri</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 Harekeler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c. Kelime İçinde Harflerin Okunuşu</w:t>
            </w:r>
          </w:p>
        </w:tc>
        <w:tc>
          <w:tcPr>
            <w:tcW w:w="712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 Öğretici harflerin şekil olarak doğru tanınmasını sağlamalıdır. Harfleri tanıyan kursiyere harfin kelime başında, ortasında ve sonundaki yazılış şekilleri öğretilmelidir. Ayrıca, öğretici Kur’an harflerinin isimlerini ve ağızdan çıkış yerlerini uygulamalı olarak göstermeli ve öğrencilere tekrar ettirerek belletmelidir.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 Harflerin okunmasını sağlayan işaretler şekil itibariyle tanıtılarak harflerin seslendirilmesi yapılmalıdır.</w:t>
            </w:r>
          </w:p>
          <w:p>
            <w:pPr>
              <w:pStyle w:val="Normal"/>
              <w:widowControl w:val="false"/>
              <w:suppressAutoHyphens w:val="true"/>
              <w:spacing w:lineRule="auto" w:line="240" w:before="0" w:after="0"/>
              <w:jc w:val="left"/>
              <w:rPr>
                <w:rFonts w:ascii="TimesNewRomanPSMT" w:hAnsi="TimesNewRomanPSMT" w:cs="TimesNewRomanPSMT"/>
                <w:sz w:val="12"/>
                <w:szCs w:val="12"/>
              </w:rPr>
            </w:pPr>
            <w:r>
              <w:rPr>
                <w:rFonts w:eastAsia="Calibri" w:cs="TimesNewRomanPSMT" w:ascii="TimesNewRomanPSMT" w:hAnsi="TimesNewRomanPSMT"/>
                <w:kern w:val="0"/>
                <w:sz w:val="16"/>
                <w:szCs w:val="16"/>
                <w:lang w:val="tr-TR" w:eastAsia="en-US" w:bidi="ar-SA"/>
              </w:rPr>
              <w:t>c. Harflerin harekelerle kelime içinde değişik örneklerle gösterilerek öğrencilerin kelimeleri doğru okuyabilmesi gerçekleştirilmelidir.</w:t>
            </w:r>
          </w:p>
        </w:tc>
        <w:tc>
          <w:tcPr>
            <w:tcW w:w="1843" w:type="dxa"/>
            <w:vMerge w:val="continue"/>
            <w:tcBorders/>
          </w:tcPr>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tc>
        <w:tc>
          <w:tcPr>
            <w:tcW w:w="1956" w:type="dxa"/>
            <w:vMerge w:val="restart"/>
            <w:tcBorders/>
          </w:tcPr>
          <w:p>
            <w:pPr>
              <w:pStyle w:val="Normal"/>
              <w:keepNext w:val="true"/>
              <w:widowControl w:val="false"/>
              <w:numPr>
                <w:ilvl w:val="0"/>
                <w:numId w:val="0"/>
              </w:numPr>
              <w:suppressAutoHyphens w:val="true"/>
              <w:spacing w:lineRule="auto" w:line="240" w:before="0" w:after="0"/>
              <w:ind w:left="0" w:hanging="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sz w:val="22"/>
                <w:szCs w:val="16"/>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38" w:hRule="atLeast"/>
        </w:trPr>
        <w:tc>
          <w:tcPr>
            <w:tcW w:w="41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10"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3014"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12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43"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56"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322" w:hRule="atLeast"/>
        </w:trPr>
        <w:tc>
          <w:tcPr>
            <w:tcW w:w="41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10"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3014"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12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43"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56"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90" w:hRule="atLeast"/>
        </w:trPr>
        <w:tc>
          <w:tcPr>
            <w:tcW w:w="418" w:type="dxa"/>
            <w:vMerge w:val="restart"/>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10"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3014" w:type="dxa"/>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3. Cezm ve Cezm’li Kelimelerin Okunuşu</w:t>
            </w:r>
          </w:p>
        </w:tc>
        <w:tc>
          <w:tcPr>
            <w:tcW w:w="712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Cezm ve Cezm’li kelimelerin okunuşundaki işlevi anlatılarak cezm ile harflerin nasıl birbirine tutturulduğu örnekler ile tahtada gösterilmeli, her biri için ayrı ayrı ve karışık alıştırmalar yapılmalıdır.</w:t>
            </w:r>
          </w:p>
        </w:tc>
        <w:tc>
          <w:tcPr>
            <w:tcW w:w="1843"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56"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40" w:hRule="atLeast"/>
        </w:trPr>
        <w:tc>
          <w:tcPr>
            <w:tcW w:w="418"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42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10"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3014" w:type="dxa"/>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4. Şedde ve Şedde’li Kelimelerin Okunuşu</w:t>
            </w:r>
          </w:p>
        </w:tc>
        <w:tc>
          <w:tcPr>
            <w:tcW w:w="712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Şedde ve şedde’li kelimelerin okunuşundaki işlevi anlatılarak şeddeyle harfin önce tutturulup sonra tekrar okunduğu örnekler ile tahtada gösterilmeli, her biri için ayrı ayrı ve karışık alıştırmalar yapılmalıdır.</w:t>
            </w:r>
          </w:p>
        </w:tc>
        <w:tc>
          <w:tcPr>
            <w:tcW w:w="1843"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56"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48" w:hRule="atLeast"/>
        </w:trPr>
        <w:tc>
          <w:tcPr>
            <w:tcW w:w="418" w:type="dxa"/>
            <w:vMerge w:val="restart"/>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10"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3014"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4. Şedde ve Şedde’li Kelimelerin Okunuşu</w:t>
            </w:r>
          </w:p>
        </w:tc>
        <w:tc>
          <w:tcPr>
            <w:tcW w:w="712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43"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56"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02" w:hRule="atLeast"/>
        </w:trPr>
        <w:tc>
          <w:tcPr>
            <w:tcW w:w="418"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42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10"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3014" w:type="dxa"/>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5. Tenvin ve Tenvin’li Kelimelerin Okunuşu</w:t>
            </w:r>
          </w:p>
        </w:tc>
        <w:tc>
          <w:tcPr>
            <w:tcW w:w="712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Tenvin ve tenvin’li kelimelerin okunuşundaki işlevi anlatılarak tenvin’in harfe kattığı sesin mahiyeti örnekler ile tahtada gösterilmeli, her biri için ayrı ayrı ve karışık alıştırmalar yapılmalıdır.</w:t>
            </w:r>
          </w:p>
        </w:tc>
        <w:tc>
          <w:tcPr>
            <w:tcW w:w="1843"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56"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90" w:hRule="atLeast"/>
        </w:trPr>
        <w:tc>
          <w:tcPr>
            <w:tcW w:w="418" w:type="dxa"/>
            <w:vMerge w:val="restart"/>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2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10"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3014" w:type="dxa"/>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6. Med (Uzatma) Harfleri ve Kelime İçinde</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Okunuşu</w:t>
            </w:r>
          </w:p>
        </w:tc>
        <w:tc>
          <w:tcPr>
            <w:tcW w:w="712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Uzatma harfleri tanıtılarak öğretici tarafından uygulamalı biçimde gösterilmelidir. Okumada en çok hata uzatmalarda yapıldığından uzatma harflerinin fonksiyonu alıştırmalarla pekiştirilmelidir. Kur’an metni içerisinde bulunan medler öğretici tarafından uygulamalı olarak okunur. Kursiyerlerin de doğru bir şekilde okumaları istenir.</w:t>
            </w:r>
          </w:p>
        </w:tc>
        <w:tc>
          <w:tcPr>
            <w:tcW w:w="1843"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56"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60" w:hRule="atLeast"/>
        </w:trPr>
        <w:tc>
          <w:tcPr>
            <w:tcW w:w="418"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42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10"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3014" w:type="dxa"/>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7. Kur’an-ı Kerim’i Yüzünden Okuma</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Alıştırmaları</w:t>
            </w:r>
          </w:p>
        </w:tc>
        <w:tc>
          <w:tcPr>
            <w:tcW w:w="712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Ders olarak verilen sure ve ayetler öğretici tarafından okunur ve kursiyerlerin takip etmesi sağlanır. Daha sonra metinler öğrencilerden dinlenir. Öğrenciler okurken yaptıkları hatalar öğretici tarafından düzeltilir.</w:t>
            </w:r>
          </w:p>
        </w:tc>
        <w:tc>
          <w:tcPr>
            <w:tcW w:w="1843"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56"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47" w:hRule="atLeast"/>
        </w:trPr>
        <w:tc>
          <w:tcPr>
            <w:tcW w:w="41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7</w:t>
            </w:r>
          </w:p>
        </w:tc>
        <w:tc>
          <w:tcPr>
            <w:tcW w:w="42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10"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3014"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7. Kur’an-ı Kerim’i Yüzünden Okuma</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Alıştırmaları</w:t>
            </w:r>
          </w:p>
        </w:tc>
        <w:tc>
          <w:tcPr>
            <w:tcW w:w="712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43"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56" w:type="dxa"/>
            <w:vMerge w:val="restart"/>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06" w:hRule="atLeast"/>
        </w:trPr>
        <w:tc>
          <w:tcPr>
            <w:tcW w:w="41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8</w:t>
            </w:r>
          </w:p>
        </w:tc>
        <w:tc>
          <w:tcPr>
            <w:tcW w:w="42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10"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3014"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12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43"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56"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09" w:hRule="atLeast"/>
        </w:trPr>
        <w:tc>
          <w:tcPr>
            <w:tcW w:w="41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9</w:t>
            </w:r>
          </w:p>
        </w:tc>
        <w:tc>
          <w:tcPr>
            <w:tcW w:w="42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10"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3014"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12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43"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56"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rmal"/>
        <w:spacing w:lineRule="atLeast" w:line="240" w:before="0" w:after="0"/>
        <w:rPr>
          <w:rFonts w:ascii="Times New Roman" w:hAnsi="Times New Roman" w:eastAsia="Times New Roman" w:cs="Times New Roman" w:asciiTheme="majorBidi" w:cstheme="majorBidi" w:hAnsiTheme="majorBidi"/>
          <w:sz w:val="14"/>
          <w:szCs w:val="14"/>
        </w:rPr>
      </w:pPr>
      <w:r>
        <w:rPr>
          <w:rFonts w:eastAsia="Times New Roman" w:cs="Times New Roman" w:ascii="Times New Roman" w:hAnsi="Times New Roman" w:asciiTheme="majorBidi" w:cstheme="majorBidi" w:hAnsiTheme="majorBidi"/>
          <w:sz w:val="14"/>
          <w:szCs w:val="14"/>
        </w:rPr>
        <w:t>Bu Yıllık Plan Diyanet İşleri Başkanlığı Din Eğitimi Dairesi Başkanlığının 2010 tarihli Camilerde Kur’an Öğretimi Programı kitapçığından faydalanılarak hazırlanmıştır.</w:t>
      </w:r>
    </w:p>
    <w:p>
      <w:pPr>
        <w:pStyle w:val="Normal"/>
        <w:spacing w:lineRule="atLeast" w:line="240" w:before="0" w:after="0"/>
        <w:rPr>
          <w:rFonts w:ascii="Times New Roman" w:hAnsi="Times New Roman" w:eastAsia="Times New Roman" w:cs="Times New Roman" w:asciiTheme="majorBidi" w:cstheme="majorBidi" w:hAnsiTheme="majorBidi"/>
          <w:sz w:val="14"/>
          <w:szCs w:val="14"/>
        </w:rPr>
      </w:pPr>
      <w:r>
        <w:rPr>
          <w:rFonts w:eastAsia="Times New Roman" w:cs="Times New Roman" w:ascii="Times New Roman" w:hAnsi="Times New Roman" w:asciiTheme="majorBidi" w:cstheme="majorBidi" w:hAnsiTheme="majorBidi"/>
          <w:sz w:val="14"/>
          <w:szCs w:val="14"/>
        </w:rPr>
        <w:tab/>
      </w:r>
    </w:p>
    <w:p>
      <w:pPr>
        <w:pStyle w:val="Normal"/>
        <w:spacing w:lineRule="atLeast" w:line="240" w:before="0" w:after="0"/>
        <w:ind w:left="708" w:firstLine="708"/>
        <w:rPr>
          <w:rFonts w:ascii="Times New Roman" w:hAnsi="Times New Roman" w:eastAsia="Times New Roman" w:cs="Times New Roman" w:asciiTheme="majorBidi" w:cstheme="majorBidi" w:hAnsiTheme="majorBidi"/>
          <w:sz w:val="20"/>
          <w:szCs w:val="20"/>
        </w:rPr>
      </w:pPr>
      <w:r>
        <w:rPr>
          <w:rFonts w:eastAsia="Times New Roman" w:cs="Times New Roman" w:ascii="Times New Roman" w:hAnsi="Times New Roman" w:asciiTheme="majorBidi" w:cstheme="majorBidi" w:hAnsiTheme="majorBidi"/>
        </w:rPr>
        <w:t>…………………………</w:t>
      </w:r>
      <w:r>
        <w:rPr>
          <w:rFonts w:eastAsia="Times New Roman" w:cs="Times New Roman" w:ascii="Times New Roman" w:hAnsi="Times New Roman" w:asciiTheme="majorBidi" w:cstheme="majorBidi" w:hAnsiTheme="majorBidi"/>
        </w:rPr>
        <w:t>.</w:t>
        <w:tab/>
        <w:tab/>
        <w:tab/>
        <w:tab/>
        <w:tab/>
        <w:tab/>
        <w:tab/>
        <w:t xml:space="preserve">                                           </w:t>
      </w:r>
      <w:r>
        <w:rPr>
          <w:rFonts w:eastAsia="Times New Roman" w:cs="Times New Roman" w:ascii="Times New Roman" w:hAnsi="Times New Roman" w:asciiTheme="majorBidi" w:cstheme="majorBidi" w:hAnsiTheme="majorBidi"/>
          <w:sz w:val="20"/>
          <w:szCs w:val="20"/>
        </w:rPr>
        <w:t>…../…../202..</w:t>
      </w:r>
    </w:p>
    <w:p>
      <w:pPr>
        <w:pStyle w:val="Normal"/>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20"/>
          <w:szCs w:val="20"/>
        </w:rPr>
        <w:tab/>
        <w:t>Camilerde Kur’an Öğretimi Kursu Öğreticisi</w:t>
        <w:tab/>
        <w:tab/>
        <w:tab/>
        <w:tab/>
        <w:tab/>
        <w:tab/>
        <w:tab/>
        <w:tab/>
        <w:tab/>
        <w:t xml:space="preserve">  TASDİK OLUNUR</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KUR’AN-I KERİM (YÜZÜNDEN OKUMA)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KUR’AN-I KERİM (YÜZÜNDEN OKUMA)  2.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ÜNİTE</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55" w:hRule="atLeast"/>
        </w:trPr>
        <w:tc>
          <w:tcPr>
            <w:tcW w:w="429" w:type="dxa"/>
            <w:vMerge w:val="restart"/>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KUR’AN-I KERİMİ DOĞRU VE GÜZEL OKUMA</w:t>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1. Zamir</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Kelime ve harflerin sonuna bitişen zamirin okunuş durumları özenle</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b/>
                <w:b/>
                <w:sz w:val="16"/>
                <w:szCs w:val="16"/>
              </w:rPr>
            </w:pPr>
            <w:r>
              <w:rPr>
                <w:rFonts w:eastAsia="Calibri" w:cs="TimesNewRomanPSMT" w:ascii="TimesNewRomanPSMT" w:hAnsi="TimesNewRomanPSMT"/>
                <w:kern w:val="0"/>
                <w:sz w:val="16"/>
                <w:szCs w:val="16"/>
                <w:lang w:val="tr-TR" w:eastAsia="en-US" w:bidi="ar-SA"/>
              </w:rPr>
              <w:t>öğretilmelidir.</w:t>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Balk6"/>
              <w:widowControl w:val="false"/>
              <w:numPr>
                <w:ilvl w:val="0"/>
                <w:numId w:val="0"/>
              </w:numPr>
              <w:suppressAutoHyphens w:val="true"/>
              <w:spacing w:before="0" w:after="0"/>
              <w:ind w:left="0" w:hanging="0"/>
              <w:jc w:val="center"/>
              <w:rPr>
                <w:kern w:val="0"/>
                <w:lang w:val="tr-TR" w:bidi="ar-SA"/>
              </w:rPr>
            </w:pPr>
            <w:r>
              <w:rPr>
                <w:kern w:val="0"/>
                <w:lang w:val="tr-TR" w:bidi="ar-SA"/>
              </w:rPr>
            </w:r>
          </w:p>
          <w:p>
            <w:pPr>
              <w:pStyle w:val="Normal"/>
              <w:widowControl w:val="false"/>
              <w:suppressAutoHyphens w:val="true"/>
              <w:spacing w:lineRule="auto" w:line="240" w:before="0" w:after="0"/>
              <w:jc w:val="center"/>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55" w:hRule="atLeast"/>
        </w:trPr>
        <w:tc>
          <w:tcPr>
            <w:tcW w:w="429"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cs="Times New Roman" w:cstheme="majorBidi" w:ascii="Times New Roman" w:hAnsi="Times New Roman"/>
                <w:b/>
                <w:bCs/>
                <w:sz w:val="22"/>
                <w:szCs w:val="16"/>
              </w:rPr>
            </w:r>
          </w:p>
        </w:tc>
        <w:tc>
          <w:tcPr>
            <w:tcW w:w="2978" w:type="dxa"/>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2. Sakin Nun ve Tenvine Ait Hükümler ve</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Uygulamaları (İhfa, İzhar ve İklab)</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Sakin nun ve tenvine ait hükümler tanıtılır. İhfa, İzhar ve İklab ile ilgili</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konular ile ilgili bilgiler verilir. Kur’an-ı Kerim üzerinde uygulamasısağlanır.</w:t>
            </w:r>
          </w:p>
        </w:tc>
        <w:tc>
          <w:tcPr>
            <w:tcW w:w="1932" w:type="dxa"/>
            <w:vMerge w:val="continue"/>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tc>
        <w:tc>
          <w:tcPr>
            <w:tcW w:w="1804" w:type="dxa"/>
            <w:tcBorders/>
          </w:tcPr>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55" w:hRule="atLeast"/>
        </w:trPr>
        <w:tc>
          <w:tcPr>
            <w:tcW w:w="429"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cs="Times New Roman" w:cstheme="majorBidi" w:ascii="Times New Roman" w:hAnsi="Times New Roman"/>
                <w:b/>
                <w:bCs/>
                <w:sz w:val="22"/>
                <w:szCs w:val="16"/>
              </w:rPr>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3. “Allah” Lafzı</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Lafzatullahın kalın ve ince okunduğu yerler öğretici tarafından tarif edilir. Okunan metinlerde öğrencilerin Lafzatullahı doğru okumaları sağlanır.</w:t>
            </w:r>
          </w:p>
        </w:tc>
        <w:tc>
          <w:tcPr>
            <w:tcW w:w="1932" w:type="dxa"/>
            <w:vMerge w:val="continue"/>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tc>
        <w:tc>
          <w:tcPr>
            <w:tcW w:w="1804" w:type="dxa"/>
            <w:tcBorders/>
          </w:tcPr>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45" w:hRule="atLeast"/>
        </w:trPr>
        <w:tc>
          <w:tcPr>
            <w:tcW w:w="429" w:type="dxa"/>
            <w:vMerge w:val="restart"/>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4. Vakıf</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Vakıf kelimesinin ne anlama geldiği açıklanır. Vakıf yapmanın anlam açısından önemi vurgulanır. Vakıf kaideleri uygulamalı olarak öğrenciye öğretilir.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45" w:hRule="atLeast"/>
        </w:trPr>
        <w:tc>
          <w:tcPr>
            <w:tcW w:w="429"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5. İdgam ve Uygulaması (MaalGunne ve Bila Gunne)</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İdğam-ı Meal Gunne ve İdğam-ı Bila Gunne tanıtılır. Kursiyerlerin uygulaması sağlanır.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45" w:hRule="atLeast"/>
        </w:trPr>
        <w:tc>
          <w:tcPr>
            <w:tcW w:w="429" w:type="dxa"/>
            <w:vMerge w:val="continue"/>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6. Ra Harfinin Okunuşu</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w:t>
            </w:r>
            <w:r>
              <w:rPr>
                <w:rFonts w:eastAsia="Calibri" w:cs="TimesNewRomanPSMT" w:ascii="TimesNewRomanPSMT" w:hAnsi="TimesNewRomanPSMT"/>
                <w:kern w:val="0"/>
                <w:sz w:val="16"/>
                <w:szCs w:val="16"/>
                <w:lang w:val="tr-TR" w:eastAsia="en-US" w:bidi="ar-SA"/>
              </w:rPr>
              <w:t>Ra” harfinin okunuşu hakkında bilgi verilir. Kursiyerlerin uygulamasısağlanır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93"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7. Kur’an-ı Kerim’i Yüzünden Doğru Okuma (1. ve 2. cüz)</w:t>
            </w:r>
          </w:p>
        </w:tc>
        <w:tc>
          <w:tcPr>
            <w:tcW w:w="7087" w:type="dxa"/>
            <w:vMerge w:val="restart"/>
            <w:tcBorders/>
          </w:tcPr>
          <w:p>
            <w:pPr>
              <w:pStyle w:val="Normal"/>
              <w:widowControl w:val="false"/>
              <w:suppressAutoHyphens w:val="true"/>
              <w:spacing w:lineRule="auto" w:line="240" w:before="0" w:after="0"/>
              <w:jc w:val="both"/>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both"/>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both"/>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both"/>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both"/>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both"/>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both"/>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both"/>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both"/>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both"/>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both"/>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both"/>
              <w:rPr>
                <w:rFonts w:ascii="Times New Roman" w:hAnsi="Times New Roman" w:cs="Times New Roman"/>
                <w:sz w:val="16"/>
                <w:szCs w:val="16"/>
              </w:rPr>
            </w:pPr>
            <w:r>
              <w:rPr>
                <w:rFonts w:eastAsia="Calibri" w:cs="TimesNewRomanPSMT" w:ascii="TimesNewRomanPSMT" w:hAnsi="TimesNewRomanPSMT"/>
                <w:kern w:val="0"/>
                <w:sz w:val="16"/>
                <w:szCs w:val="16"/>
                <w:lang w:val="tr-TR" w:eastAsia="en-US" w:bidi="ar-SA"/>
              </w:rPr>
              <w:t>Belirtilen metnin kursiyerler tarafından doğru bir şekilde okunması sağlanır. Yapılan yanlışlıklar öğretici tarafından birebir düzeltilir.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9"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31"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1"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7</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54"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8</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6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9</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KUR’AN-I KERİM (YÜZÜNDEN OKUMA)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KUR’AN-I KERİM (YÜZÜNDEN OKUMA)  3.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ÜNİTE</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8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KUR’AN-I KERİMİ DOĞRU VE GÜZEL OKUMA</w:t>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1. Kur’an-ı Kerim’i Yüzünden Doğru Okuma</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(3. cüz ve sonrası)</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Belirtilen metnin kursiyerler tarafından doğru bir şekilde okunması sağlanır.</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b/>
                <w:b/>
                <w:sz w:val="16"/>
                <w:szCs w:val="16"/>
              </w:rPr>
            </w:pPr>
            <w:r>
              <w:rPr>
                <w:rFonts w:eastAsia="Calibri" w:cs="TimesNewRomanPSMT" w:ascii="TimesNewRomanPSMT" w:hAnsi="TimesNewRomanPSMT"/>
                <w:kern w:val="0"/>
                <w:sz w:val="16"/>
                <w:szCs w:val="16"/>
                <w:lang w:val="tr-TR" w:eastAsia="en-US" w:bidi="ar-SA"/>
              </w:rPr>
              <w:t>Yapılan yanlışlıklar öğretici tarafından birebir düzeltilir.</w:t>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val="false"/>
              <w:suppressAutoHyphens w:val="true"/>
              <w:spacing w:lineRule="auto" w:line="240" w:before="0" w:after="0"/>
              <w:jc w:val="left"/>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5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93"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7087" w:type="dxa"/>
            <w:vMerge w:val="continue"/>
            <w:tcBorders/>
          </w:tcPr>
          <w:p>
            <w:pPr>
              <w:pStyle w:val="Normal"/>
              <w:widowControl w:val="false"/>
              <w:suppressAutoHyphens w:val="true"/>
              <w:spacing w:lineRule="auto" w:line="240" w:before="0" w:after="0"/>
              <w:jc w:val="both"/>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9"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31"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1"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7</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54"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8</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6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9</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KUR’AN-I KERİM (EZBER)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KUR’AN-I KERİM (EZBER)  1.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ÜNİTE</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8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SURE-DUA EZBERLEME VE MEAL</w:t>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20"/>
                <w:szCs w:val="20"/>
              </w:rPr>
            </w:pPr>
            <w:r>
              <w:rPr>
                <w:rFonts w:eastAsia="Calibri" w:cs="TimesNewRomanPSMT" w:ascii="TimesNewRomanPSMT" w:hAnsi="TimesNewRomanPSMT"/>
                <w:kern w:val="0"/>
                <w:sz w:val="20"/>
                <w:szCs w:val="20"/>
                <w:lang w:val="tr-TR" w:eastAsia="en-US" w:bidi="ar-SA"/>
              </w:rPr>
              <w:t>1. Fatiha, İhlas ve Kevser Surelerinin Ezberi</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20"/>
                <w:szCs w:val="20"/>
                <w:lang w:val="tr-TR" w:eastAsia="en-US" w:bidi="ar-SA"/>
              </w:rPr>
              <w:t>ve Mealleri</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 henüz doğru bir şekilde yüzünden okuma becerisini kazanmadığından dolayı öğreticinin şifahi</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olarak kelime kelime, cümle cümle tedricen söylemesi ve talim etmesi suretiyle sure ve duaları</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ezberlenmesi sağlanmalıdır. Bu hususta kaset ve Cd’lerden de istifade edilebilir. Kursiyerin işitsel</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kabiliyetinin kullanılmasıyla yaptırılan ezberler, öğreticinin takibi ile öğrenciden dinlenilerek hataları</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b/>
                <w:b/>
                <w:sz w:val="16"/>
                <w:szCs w:val="16"/>
              </w:rPr>
            </w:pPr>
            <w:r>
              <w:rPr>
                <w:rFonts w:eastAsia="Calibri" w:cs="TimesNewRomanPSMT" w:ascii="TimesNewRomanPSMT" w:hAnsi="TimesNewRomanPSMT"/>
                <w:kern w:val="0"/>
                <w:sz w:val="16"/>
                <w:szCs w:val="16"/>
                <w:lang w:val="tr-TR" w:eastAsia="en-US" w:bidi="ar-SA"/>
              </w:rPr>
              <w:t>4 düzeltilir.</w:t>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val="false"/>
              <w:suppressAutoHyphens w:val="true"/>
              <w:spacing w:lineRule="auto" w:line="240" w:before="0" w:after="0"/>
              <w:jc w:val="left"/>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5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93"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7087" w:type="dxa"/>
            <w:vMerge w:val="continue"/>
            <w:tcBorders/>
          </w:tcPr>
          <w:p>
            <w:pPr>
              <w:pStyle w:val="Normal"/>
              <w:widowControl w:val="false"/>
              <w:suppressAutoHyphens w:val="true"/>
              <w:spacing w:lineRule="auto" w:line="240" w:before="0" w:after="0"/>
              <w:jc w:val="both"/>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9"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31"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20"/>
                <w:szCs w:val="20"/>
              </w:rPr>
            </w:pPr>
            <w:r>
              <w:rPr>
                <w:rFonts w:eastAsia="Calibri" w:cs="TimesNewRomanPSMT" w:ascii="TimesNewRomanPSMT" w:hAnsi="TimesNewRomanPSMT"/>
                <w:kern w:val="0"/>
                <w:sz w:val="20"/>
                <w:szCs w:val="20"/>
                <w:lang w:val="tr-TR" w:eastAsia="en-US" w:bidi="ar-SA"/>
              </w:rPr>
              <w:t>2. Sübhaneke, Ettehiyyatü, Salli-Barik,</w:t>
            </w:r>
          </w:p>
          <w:p>
            <w:pPr>
              <w:pStyle w:val="Normal"/>
              <w:widowControl w:val="false"/>
              <w:suppressAutoHyphens w:val="true"/>
              <w:spacing w:lineRule="auto" w:line="240" w:before="0" w:after="0"/>
              <w:jc w:val="left"/>
              <w:rPr>
                <w:rFonts w:ascii="TimesNewRomanPSMT" w:hAnsi="TimesNewRomanPSMT" w:cs="TimesNewRomanPSMT"/>
                <w:sz w:val="20"/>
                <w:szCs w:val="20"/>
              </w:rPr>
            </w:pPr>
            <w:r>
              <w:rPr>
                <w:rFonts w:eastAsia="Calibri" w:cs="TimesNewRomanPSMT" w:ascii="TimesNewRomanPSMT" w:hAnsi="TimesNewRomanPSMT"/>
                <w:kern w:val="0"/>
                <w:sz w:val="20"/>
                <w:szCs w:val="20"/>
                <w:lang w:val="tr-TR" w:eastAsia="en-US" w:bidi="ar-SA"/>
              </w:rPr>
              <w:t>Rabbena Atina ve Rabbenağfirli</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20"/>
                <w:szCs w:val="20"/>
                <w:lang w:val="tr-TR" w:eastAsia="en-US" w:bidi="ar-SA"/>
              </w:rPr>
              <w:t>Dualarının Ezberi ve Anlamları</w:t>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1"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7</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801"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8</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KUR’AN-I KERİM (EZBER)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KUR’AN-I KERİM (EZBER)  2.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ÜNİTE</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8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KUR’AN-I KERİM EZBER VE MEAL</w:t>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1. Fil, Kureyş, Maun, Kafirun, Nasr, Tebbet, Felak ve</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Nas Surelerinin Ezberi ve Mealleri</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Bu derste öğretici, sureyi öncelikle kendisi doğru bir şekilde okur.</w:t>
            </w:r>
          </w:p>
          <w:p>
            <w:pPr>
              <w:pStyle w:val="Normal"/>
              <w:widowControl w:val="false"/>
              <w:suppressAutoHyphens w:val="true"/>
              <w:spacing w:lineRule="auto" w:line="240" w:before="0" w:after="0"/>
              <w:jc w:val="left"/>
              <w:rPr>
                <w:rFonts w:ascii="TimesNewRomanPSMT" w:hAnsi="TimesNewRomanPSMT" w:cs="TimesNewRomanPSMT"/>
                <w:sz w:val="24"/>
                <w:szCs w:val="24"/>
              </w:rPr>
            </w:pPr>
            <w:r>
              <w:rPr>
                <w:rFonts w:eastAsia="Calibri" w:cs="TimesNewRomanPSMT" w:ascii="TimesNewRomanPSMT" w:hAnsi="TimesNewRomanPSMT"/>
                <w:kern w:val="0"/>
                <w:sz w:val="16"/>
                <w:szCs w:val="16"/>
                <w:lang w:val="tr-TR" w:eastAsia="en-US" w:bidi="ar-SA"/>
              </w:rPr>
              <w:t>Kursiyerlere tekrar ettirilir. Daha sonra kursiyerlerden dua doğru bir şekilde tek tek dinlenir. Yapılan hatalar öğretici tarafından düzeltilir. Ayrıca öğretici tarafından sure meali okunarak açıklanır.</w:t>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val="false"/>
              <w:suppressAutoHyphens w:val="true"/>
              <w:spacing w:lineRule="auto" w:line="240" w:before="0" w:after="0"/>
              <w:jc w:val="left"/>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5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93"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7087" w:type="dxa"/>
            <w:vMerge w:val="continue"/>
            <w:tcBorders/>
          </w:tcPr>
          <w:p>
            <w:pPr>
              <w:pStyle w:val="Normal"/>
              <w:widowControl w:val="false"/>
              <w:suppressAutoHyphens w:val="true"/>
              <w:spacing w:lineRule="auto" w:line="240" w:before="0" w:after="0"/>
              <w:jc w:val="both"/>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9"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31"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1"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7</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2. Kunut Dualarının Ezberi ve Anlamları</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Bu derste öğretici, duayı öncelikle kendisi doğru bir şekilde okur.</w:t>
            </w:r>
          </w:p>
          <w:p>
            <w:pPr>
              <w:pStyle w:val="Normal"/>
              <w:widowControl w:val="false"/>
              <w:suppressAutoHyphens w:val="true"/>
              <w:spacing w:lineRule="auto" w:line="240" w:before="0" w:after="0"/>
              <w:jc w:val="left"/>
              <w:rPr>
                <w:rFonts w:ascii="TimesNewRomanPSMT" w:hAnsi="TimesNewRomanPSMT" w:cs="TimesNewRomanPSMT"/>
                <w:sz w:val="24"/>
                <w:szCs w:val="24"/>
              </w:rPr>
            </w:pPr>
            <w:r>
              <w:rPr>
                <w:rFonts w:eastAsia="Calibri" w:cs="TimesNewRomanPSMT" w:ascii="TimesNewRomanPSMT" w:hAnsi="TimesNewRomanPSMT"/>
                <w:kern w:val="0"/>
                <w:sz w:val="16"/>
                <w:szCs w:val="16"/>
                <w:lang w:val="tr-TR" w:eastAsia="en-US" w:bidi="ar-SA"/>
              </w:rPr>
              <w:t>Kursiyerlere tekrar ettirilir. Daha sonra kursiyerlerden dua doğru bir şekilde tek tek dinlenir. Yapılan hatalar öğretici tarafından düzeltilir. Ayrıca öğretici tarafından duanın anlamı okunarak açıklanır.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0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8</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3. Ezan ve Kamet</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İsteklilere Kur’an-ı Kerim alanı ile ilgili diğer bilgiler yanı sıra ezan ve</w:t>
            </w:r>
          </w:p>
          <w:p>
            <w:pPr>
              <w:pStyle w:val="Normal"/>
              <w:widowControl w:val="false"/>
              <w:suppressAutoHyphens w:val="true"/>
              <w:spacing w:lineRule="auto" w:line="240" w:before="0" w:after="0"/>
              <w:jc w:val="both"/>
              <w:rPr>
                <w:rFonts w:ascii="Times New Roman" w:hAnsi="Times New Roman" w:cs="Times New Roman"/>
                <w:sz w:val="16"/>
                <w:szCs w:val="16"/>
              </w:rPr>
            </w:pPr>
            <w:r>
              <w:rPr>
                <w:rFonts w:eastAsia="Calibri" w:cs="TimesNewRomanPSMT" w:ascii="TimesNewRomanPSMT" w:hAnsi="TimesNewRomanPSMT"/>
                <w:kern w:val="0"/>
                <w:sz w:val="16"/>
                <w:szCs w:val="16"/>
                <w:lang w:val="tr-TR" w:eastAsia="en-US" w:bidi="ar-SA"/>
              </w:rPr>
              <w:t>kametin doğru okunuşu da öğretilecektir.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KUR’AN-I KERİM (EZBER)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KUR’AN-I KERİM (EZBER)  3.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ÜNİTE</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8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KUR’AN-I KERİM EZBER VE MEAL</w:t>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1. Bakara Suresi’nin 255. Ayetinin Ezberi ve</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Meali</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Belirtilen metnin kursiyerler tarafından doğru bir şekilde okunması sağlanır.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Yapılan yanlışlıklar öğretici tarafından birebir düzeltilir.</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b/>
                <w:b/>
                <w:sz w:val="16"/>
                <w:szCs w:val="16"/>
              </w:rPr>
            </w:pPr>
            <w:r>
              <w:rPr>
                <w:rFonts w:cs="Times New Roman" w:cstheme="majorBidi" w:ascii="Times New Roman" w:hAnsi="Times New Roman"/>
                <w:b/>
                <w:sz w:val="22"/>
                <w:szCs w:val="16"/>
              </w:rPr>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val="false"/>
              <w:suppressAutoHyphens w:val="true"/>
              <w:spacing w:lineRule="auto" w:line="240" w:before="0" w:after="0"/>
              <w:jc w:val="left"/>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5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93"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7087" w:type="dxa"/>
            <w:vMerge w:val="continue"/>
            <w:tcBorders/>
          </w:tcPr>
          <w:p>
            <w:pPr>
              <w:pStyle w:val="Normal"/>
              <w:widowControl w:val="false"/>
              <w:suppressAutoHyphens w:val="true"/>
              <w:spacing w:lineRule="auto" w:line="240" w:before="0" w:after="0"/>
              <w:jc w:val="both"/>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9"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2. Bakara Suresi’nin 285-286. Ayetlerinin</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Ezberi ve Mealleri</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Belirtilen metnin kursiyerler tarafından doğru bir şekilde okunması sağlanır.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Yapılan yanlışlıklar öğretici tarafından birebir düzeltilir.</w:t>
            </w:r>
          </w:p>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31"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5"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1"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7</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3. Haşr Suresi’nin 22-24. Ayetlerinin Ezberi</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ve Mealleri</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Belirtilen metnin kursiyerler tarafından doğru bir şekilde okunması sağlanır.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Yapılan yanlışlıklar öğretici tarafından birebir düzeltilir.</w:t>
            </w:r>
          </w:p>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54"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8</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(İTİKAT)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(İTİKAT)1.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İTİKAT</w:t>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Kelime-i Tevhid ve Kelime-i Şahadet</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Kelime-i Tevhid ve Kelime-i Şehadet’i tasdik eden bir insanın üzerine almış olduğu sorumluluktan hareketle anlamı açıklanmalı ve bu kelimelerin imanın ilk aşaması olduğuna vurgu yapılmalıdır. Kelime-i Tevhid ve Kelime-i Şehadet ile İslâm’a atılan ilk adımı ve bu adımla insana kazandırdığı güzellikleri, Yaratıcının Kelime-i Tevhid’iözümseyip kendisine şirk koşmayanları cennetle mükâfatlandıracağını örneklendirerek açıklayıp bu kelimelerin önemini kavratabilir.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b/>
                <w:b/>
                <w:sz w:val="16"/>
                <w:szCs w:val="16"/>
              </w:rPr>
            </w:pPr>
            <w:r>
              <w:rPr>
                <w:rFonts w:cs="Times New Roman" w:cstheme="majorBidi" w:ascii="Times New Roman" w:hAnsi="Times New Roman"/>
                <w:b/>
                <w:sz w:val="22"/>
                <w:szCs w:val="16"/>
              </w:rPr>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val="false"/>
              <w:suppressAutoHyphens w:val="true"/>
              <w:spacing w:lineRule="auto" w:line="240" w:before="0" w:after="0"/>
              <w:jc w:val="left"/>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Yaradılışın Gayesi ve İnsanın İki Temel Tercihi</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(İman-Küfür)</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Mü’minûn suresi 115. Ayet çerçevesinde “Yaradılışın gayesi nedir?” sorusu üzerinde kursiyerlerin müzakere etmesi sağlanır. Ayrıca Yunus suresi 7, 8 ve 101. ayetler ışığında inkâr ve neticesi tartışılır. İman ile yaradılışın gayesi arasında ne gibi bir ilişki olduğu üzerinde durulur.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İman ve İmanın Altı Esası</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 Allah’a İman</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 Meleklere İman</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c. Kitaplara İman</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d. Peygamberlere İman</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e. Ahirete İman</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f. Kader ve Kazaya İman</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İman kavramı ve İman Esasları, Nisa Suresi 136. ayet ve Cibril Hadisi çerçevesinde işlenir. Kursiyerlerin derse aktif katılımını sağlayacak şekilde sorular hazırlanır.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(İTİKAT)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(İTİKAT)2.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İTİKAT</w:t>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Allah’ın Varlığının Delilleri</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Allah’ın Varlığının Delilleri Nisâ Suresi 1, Zümer Suresi 6 vb. ayetlerde geçen yaradılışla ve Mülk Suresi 1-5 vb. ayetlerde geçen kâinatın düzeni ile ilgili ayetler çerçevesinde işlenir. Ayrıca Allah’ın varlığına ilişkin diğer deliller de derse konu edilir.</w:t>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val="false"/>
              <w:suppressAutoHyphens w:val="true"/>
              <w:spacing w:lineRule="auto" w:line="240" w:before="0" w:after="0"/>
              <w:jc w:val="left"/>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Allah’ın İsimleri ve Sıfatları</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Allah’ın İsimleri ve Sıfatları, A’raf Suresi 180. Ayet ile Bakara Suresi 163, Mâide Suresi 118, Hac Suresi 64 vb. ayetler çerçevesinde işlenir.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7087" w:type="dxa"/>
            <w:vMerge w:val="continue"/>
            <w:tcBorders/>
          </w:tcPr>
          <w:p>
            <w:pPr>
              <w:pStyle w:val="Normal"/>
              <w:widowControl w:val="false"/>
              <w:suppressAutoHyphens w:val="true"/>
              <w:spacing w:lineRule="auto" w:line="240" w:before="0" w:after="0"/>
              <w:jc w:val="both"/>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Allaha ve Hz. Peygambere İtaat</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Allaha ve Hz. Peygambere İtaat Nur Suresi 52-54, Âl-i İmran Suresi 31 vb. ayetler çerçevesinde işlenir.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(İTİKAT)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(İTİKAT)3.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İTİKAT</w:t>
            </w:r>
          </w:p>
        </w:tc>
        <w:tc>
          <w:tcPr>
            <w:tcW w:w="2978" w:type="dxa"/>
            <w:vMerge w:val="restart"/>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İnsan ve Kâinatın Yaratılışı</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Kerim’deki Hicr Suresi 85, Enam Suresi 101-102, Kamer Suresi 49, Mülk Suresi 1-4 vb. yaratılış konusuna vurgu yapan ayetler temel olmak üzere konuyla ilgili değişik kaynaklardan yararlanılır ve konu Kur’an merkezli olarak işlenir. İlgili hadis-i şerifler de temin edilerek ders zenginleştirilmeye çalışılır. “İnsan ve kâinat’ın yaratılışında bir düzensizlik var mıdır?”, “Kainatın oluşumunda tesadüfe yer var mıdır?” vb. sorular öğrenciler tarafından tartışılır.</w:t>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val="false"/>
              <w:suppressAutoHyphens w:val="true"/>
              <w:spacing w:lineRule="auto" w:line="240" w:before="0" w:after="0"/>
              <w:jc w:val="left"/>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İman-Davranış İlişkisi Yönünden İnsanlar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Mümin, Müşrik, Kâfir, Münafık</w:t>
            </w:r>
          </w:p>
        </w:tc>
        <w:tc>
          <w:tcPr>
            <w:tcW w:w="7087" w:type="dxa"/>
            <w:vMerge w:val="continue"/>
            <w:tcBorders/>
          </w:tcPr>
          <w:p>
            <w:pPr>
              <w:pStyle w:val="Normal"/>
              <w:widowControl w:val="false"/>
              <w:suppressAutoHyphens w:val="true"/>
              <w:spacing w:lineRule="auto" w:line="240" w:before="0" w:after="0"/>
              <w:jc w:val="both"/>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rmal"/>
        <w:tabs>
          <w:tab w:val="clear" w:pos="708"/>
          <w:tab w:val="left" w:pos="13200" w:leader="none"/>
        </w:tabs>
        <w:rPr>
          <w:sz w:val="14"/>
          <w:szCs w:val="14"/>
        </w:rPr>
      </w:pPr>
      <w:r>
        <w:rPr>
          <w:sz w:val="14"/>
          <w:szCs w:val="14"/>
        </w:rPr>
      </w:r>
    </w:p>
    <w:p>
      <w:pPr>
        <w:pStyle w:val="Normal"/>
        <w:tabs>
          <w:tab w:val="clear" w:pos="708"/>
          <w:tab w:val="left" w:pos="13200" w:leader="none"/>
        </w:tabs>
        <w:rPr>
          <w:sz w:val="14"/>
          <w:szCs w:val="14"/>
        </w:rPr>
      </w:pPr>
      <w:r>
        <w:rPr>
          <w:sz w:val="14"/>
          <w:szCs w:val="14"/>
        </w:rPr>
      </w:r>
    </w:p>
    <w:p>
      <w:pPr>
        <w:pStyle w:val="Normal"/>
        <w:tabs>
          <w:tab w:val="clear" w:pos="708"/>
          <w:tab w:val="left" w:pos="13200" w:leader="none"/>
        </w:tabs>
        <w:rPr>
          <w:sz w:val="14"/>
          <w:szCs w:val="14"/>
        </w:rPr>
      </w:pPr>
      <w:r>
        <w:rPr>
          <w:sz w:val="14"/>
          <w:szCs w:val="14"/>
        </w:rPr>
      </w:r>
    </w:p>
    <w:p>
      <w:pPr>
        <w:pStyle w:val="Normal"/>
        <w:tabs>
          <w:tab w:val="clear" w:pos="708"/>
          <w:tab w:val="left" w:pos="13200" w:leader="none"/>
        </w:tabs>
        <w:rPr>
          <w:sz w:val="14"/>
          <w:szCs w:val="14"/>
        </w:rPr>
      </w:pPr>
      <w:r>
        <w:rPr>
          <w:sz w:val="14"/>
          <w:szCs w:val="1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(İBADET)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(İBADET)1.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İBADET</w:t>
            </w:r>
          </w:p>
        </w:tc>
        <w:tc>
          <w:tcPr>
            <w:tcW w:w="2978" w:type="dxa"/>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İbadet Kavramı</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 Kavramı Zariyat Suresi 56. ayet, Buhari İman/2, Müslim İman/5 hadisleri çerçevesinde işlenir.</w:t>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val="false"/>
              <w:suppressAutoHyphens w:val="true"/>
              <w:spacing w:lineRule="auto" w:line="240" w:before="0" w:after="0"/>
              <w:jc w:val="left"/>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1- </w:t>
            </w:r>
            <w:r>
              <w:rPr>
                <w:rFonts w:eastAsia="Calibri" w:cs="TimesNewRomanPSMT" w:ascii="TimesNewRomanPSMT" w:hAnsi="TimesNewRomanPSMT"/>
                <w:kern w:val="0"/>
                <w:sz w:val="16"/>
                <w:szCs w:val="16"/>
                <w:lang w:val="tr-TR" w:eastAsia="en-US" w:bidi="ar-SA"/>
              </w:rPr>
              <w:t>Namaz ve Önemi</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2- </w:t>
            </w:r>
            <w:r>
              <w:rPr>
                <w:rFonts w:eastAsia="Calibri" w:cs="TimesNewRomanPSMT" w:ascii="TimesNewRomanPSMT" w:hAnsi="TimesNewRomanPSMT"/>
                <w:kern w:val="0"/>
                <w:sz w:val="16"/>
                <w:szCs w:val="16"/>
                <w:lang w:val="tr-TR" w:eastAsia="en-US" w:bidi="ar-SA"/>
              </w:rPr>
              <w:t>Namazın Rükünleri ve Çağrıştırdıkları</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Manalar</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BoldMT" w:ascii="TimesNewRomanPS-BoldMT" w:hAnsi="TimesNewRomanPS-BoldMT"/>
                <w:b/>
                <w:bCs/>
                <w:kern w:val="0"/>
                <w:sz w:val="16"/>
                <w:szCs w:val="16"/>
                <w:lang w:val="tr-TR" w:eastAsia="en-US" w:bidi="ar-SA"/>
              </w:rPr>
              <w:t xml:space="preserve">3- </w:t>
            </w:r>
            <w:r>
              <w:rPr>
                <w:rFonts w:eastAsia="Calibri" w:cs="TimesNewRomanPSMT" w:ascii="TimesNewRomanPSMT" w:hAnsi="TimesNewRomanPSMT"/>
                <w:kern w:val="0"/>
                <w:sz w:val="16"/>
                <w:szCs w:val="16"/>
                <w:lang w:val="tr-TR" w:eastAsia="en-US" w:bidi="ar-SA"/>
              </w:rPr>
              <w:t>Namaz İbadetinin İnsana Kazandırdıkları</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Namaz ve Önemi Bakara Suresi 153, Ankebut Suresi 45. ayetler, Tirmizi/İman-8, Müslim / İman-16 hadisleri çerçevesinde işlenir.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Diğer konular hakkında öğrencilerin düşünmeleri istenir ve ortaya çıkan görüşler hakkında birlikte müzakere edilir.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7087" w:type="dxa"/>
            <w:vMerge w:val="continue"/>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1. </w:t>
            </w:r>
            <w:r>
              <w:rPr>
                <w:rFonts w:eastAsia="Calibri" w:cs="TimesNewRomanPSMT" w:ascii="TimesNewRomanPSMT" w:hAnsi="TimesNewRomanPSMT"/>
                <w:kern w:val="0"/>
                <w:sz w:val="16"/>
                <w:szCs w:val="16"/>
                <w:lang w:val="tr-TR" w:eastAsia="en-US" w:bidi="ar-SA"/>
              </w:rPr>
              <w:t>Oruç ve Önemi</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2. </w:t>
            </w:r>
            <w:r>
              <w:rPr>
                <w:rFonts w:eastAsia="Calibri" w:cs="TimesNewRomanPSMT" w:ascii="TimesNewRomanPSMT" w:hAnsi="TimesNewRomanPSMT"/>
                <w:kern w:val="0"/>
                <w:sz w:val="16"/>
                <w:szCs w:val="16"/>
                <w:lang w:val="tr-TR" w:eastAsia="en-US" w:bidi="ar-SA"/>
              </w:rPr>
              <w:t>Oruç İbadetinin İnsana Kazandırdıkları</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BoldMT" w:ascii="TimesNewRomanPS-BoldMT" w:hAnsi="TimesNewRomanPS-BoldMT"/>
                <w:b/>
                <w:bCs/>
                <w:kern w:val="0"/>
                <w:sz w:val="16"/>
                <w:szCs w:val="16"/>
                <w:lang w:val="tr-TR" w:eastAsia="en-US" w:bidi="ar-SA"/>
              </w:rPr>
              <w:t xml:space="preserve">3. </w:t>
            </w:r>
            <w:r>
              <w:rPr>
                <w:rFonts w:eastAsia="Calibri" w:cs="TimesNewRomanPSMT" w:ascii="TimesNewRomanPSMT" w:hAnsi="TimesNewRomanPSMT"/>
                <w:kern w:val="0"/>
                <w:sz w:val="16"/>
                <w:szCs w:val="16"/>
                <w:lang w:val="tr-TR" w:eastAsia="en-US" w:bidi="ar-SA"/>
              </w:rPr>
              <w:t>Oruç İbadetinin Topluma Kazandırdıkları</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Oruç ve Önemi Bakara Suresi 183-184. ayetler çerçevesinde işlenir.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Diğer konular hakkında öğrencilerin düşünmeleri istenir ve ortaya çıkan görüşler hakkında birlikte müzakere edilir.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(İBADET)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(İBADET)2.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İBADET</w:t>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1. </w:t>
            </w:r>
            <w:r>
              <w:rPr>
                <w:rFonts w:eastAsia="Calibri" w:cs="TimesNewRomanPSMT" w:ascii="TimesNewRomanPSMT" w:hAnsi="TimesNewRomanPSMT"/>
                <w:kern w:val="0"/>
                <w:sz w:val="16"/>
                <w:szCs w:val="16"/>
                <w:lang w:val="tr-TR" w:eastAsia="en-US" w:bidi="ar-SA"/>
              </w:rPr>
              <w:t>Zekât, Sadaka ve Önemi</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2. </w:t>
            </w:r>
            <w:r>
              <w:rPr>
                <w:rFonts w:eastAsia="Calibri" w:cs="TimesNewRomanPSMT" w:ascii="TimesNewRomanPSMT" w:hAnsi="TimesNewRomanPSMT"/>
                <w:kern w:val="0"/>
                <w:sz w:val="16"/>
                <w:szCs w:val="16"/>
                <w:lang w:val="tr-TR" w:eastAsia="en-US" w:bidi="ar-SA"/>
              </w:rPr>
              <w:t>İnfak Medeniyeti İslam</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3. </w:t>
            </w:r>
            <w:r>
              <w:rPr>
                <w:rFonts w:eastAsia="Calibri" w:cs="TimesNewRomanPSMT" w:ascii="TimesNewRomanPSMT" w:hAnsi="TimesNewRomanPSMT"/>
                <w:kern w:val="0"/>
                <w:sz w:val="16"/>
                <w:szCs w:val="16"/>
                <w:lang w:val="tr-TR" w:eastAsia="en-US" w:bidi="ar-SA"/>
              </w:rPr>
              <w:t>Zekât İbadetinin İnsana Kazandırdıkları</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BoldMT" w:ascii="TimesNewRomanPS-BoldMT" w:hAnsi="TimesNewRomanPS-BoldMT"/>
                <w:b/>
                <w:bCs/>
                <w:kern w:val="0"/>
                <w:sz w:val="16"/>
                <w:szCs w:val="16"/>
                <w:lang w:val="tr-TR" w:eastAsia="en-US" w:bidi="ar-SA"/>
              </w:rPr>
              <w:t xml:space="preserve">4. </w:t>
            </w:r>
            <w:r>
              <w:rPr>
                <w:rFonts w:eastAsia="Calibri" w:cs="TimesNewRomanPSMT" w:ascii="TimesNewRomanPSMT" w:hAnsi="TimesNewRomanPSMT"/>
                <w:kern w:val="0"/>
                <w:sz w:val="16"/>
                <w:szCs w:val="16"/>
                <w:lang w:val="tr-TR" w:eastAsia="en-US" w:bidi="ar-SA"/>
              </w:rPr>
              <w:t>Zekât İbadetinin Topluma Kazandırdıkları</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Zekât ve Sadaka Bakara Suresi 43, Tevbe Suresi 60. Ayetler, Buhari Cihat/72, İbniMace Sünen-2/1313 No:3973 hadisler çerçevesinde işlenir. İslam Dini ile birlikte ortaya çıkan vakıf medeniyeti İslam tarihinden ve günümüzden örneklerle işlenir.</w:t>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val="false"/>
              <w:suppressAutoHyphens w:val="true"/>
              <w:spacing w:lineRule="auto" w:line="240" w:before="0" w:after="0"/>
              <w:jc w:val="left"/>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1. </w:t>
            </w:r>
            <w:r>
              <w:rPr>
                <w:rFonts w:eastAsia="Calibri" w:cs="TimesNewRomanPSMT" w:ascii="TimesNewRomanPSMT" w:hAnsi="TimesNewRomanPSMT"/>
                <w:kern w:val="0"/>
                <w:sz w:val="16"/>
                <w:szCs w:val="16"/>
                <w:lang w:val="tr-TR" w:eastAsia="en-US" w:bidi="ar-SA"/>
              </w:rPr>
              <w:t>Hac ve Kurban</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2. </w:t>
            </w:r>
            <w:r>
              <w:rPr>
                <w:rFonts w:eastAsia="Calibri" w:cs="TimesNewRomanPSMT" w:ascii="TimesNewRomanPSMT" w:hAnsi="TimesNewRomanPSMT"/>
                <w:kern w:val="0"/>
                <w:sz w:val="16"/>
                <w:szCs w:val="16"/>
                <w:lang w:val="tr-TR" w:eastAsia="en-US" w:bidi="ar-SA"/>
              </w:rPr>
              <w:t>Haccın Rükünleri ve Çağrıştırdıkları Manalar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3. </w:t>
            </w:r>
            <w:r>
              <w:rPr>
                <w:rFonts w:eastAsia="Calibri" w:cs="TimesNewRomanPSMT" w:ascii="TimesNewRomanPSMT" w:hAnsi="TimesNewRomanPSMT"/>
                <w:kern w:val="0"/>
                <w:sz w:val="16"/>
                <w:szCs w:val="16"/>
                <w:lang w:val="tr-TR" w:eastAsia="en-US" w:bidi="ar-SA"/>
              </w:rPr>
              <w:t>Hac İbadetinin Topluma Kazandırdıkları</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4. </w:t>
            </w:r>
            <w:r>
              <w:rPr>
                <w:rFonts w:eastAsia="Calibri" w:cs="TimesNewRomanPSMT" w:ascii="TimesNewRomanPSMT" w:hAnsi="TimesNewRomanPSMT"/>
                <w:kern w:val="0"/>
                <w:sz w:val="16"/>
                <w:szCs w:val="16"/>
                <w:lang w:val="tr-TR" w:eastAsia="en-US" w:bidi="ar-SA"/>
              </w:rPr>
              <w:t>Kurban İbadeti ve Çağrıştırdığı Manalar</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Hac ve Kurban Hac Suresi 26-33. vb. ayetler çerçevesinde işlenir.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Diğer konular hakkında öğrencilerin düşünmeleri istenir ve ortaya çıkan görüşler hakkında birlikte müzakere edilir.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(İBADET)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(İBADET)3.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İBADET</w:t>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Tevbe ve Önemi</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Tevbe ve Önemi Tahrim Suresi 8 vb. ayetler, Tirmizi/Daavat-106, Ahmet Bin Hanbel Müsnet-1/289 hadisler çerçevesinde işlenir.</w:t>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val="false"/>
              <w:suppressAutoHyphens w:val="true"/>
              <w:spacing w:lineRule="auto" w:line="240" w:before="0" w:after="0"/>
              <w:jc w:val="left"/>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1. </w:t>
            </w:r>
            <w:r>
              <w:rPr>
                <w:rFonts w:eastAsia="Calibri" w:cs="TimesNewRomanPSMT" w:ascii="TimesNewRomanPSMT" w:hAnsi="TimesNewRomanPSMT"/>
                <w:kern w:val="0"/>
                <w:sz w:val="16"/>
                <w:szCs w:val="16"/>
                <w:lang w:val="tr-TR" w:eastAsia="en-US" w:bidi="ar-SA"/>
              </w:rPr>
              <w:t>Dua ve Önemi</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2. </w:t>
            </w:r>
            <w:r>
              <w:rPr>
                <w:rFonts w:eastAsia="Calibri" w:cs="TimesNewRomanPSMT" w:ascii="TimesNewRomanPSMT" w:hAnsi="TimesNewRomanPSMT"/>
                <w:kern w:val="0"/>
                <w:sz w:val="16"/>
                <w:szCs w:val="16"/>
                <w:lang w:val="tr-TR" w:eastAsia="en-US" w:bidi="ar-SA"/>
              </w:rPr>
              <w:t>Kur’an’dan ve Hz. Peygamber’den Dua</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Örnekleri</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Dua ve Önemi Furkan Suresi 77 vb. ayetler çerçevesinde işlenir.</w:t>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Kur’an’dan dua örnekleri Araf Suresi 23, Enbiya Suresi 83-84, Enbiya Suresi 87-88. ayetler ve ilgili kıssalar çerçevesinde işlenir. Öğretici ve öğrenciler tarafından diğer ayetler ve Hz. Peygamber’den de dua örnekleri sunulur.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(SİYER-AHLÂK)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(SİYER-AHLÂK)1.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SİYER-AHLÂK</w:t>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Hz. Peygamber ve Davranış Örnekleri</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interaktif bir ortamda Müslümanlarda bulunması gereken doğru davranışların neler olduğu üzerinde düşünülen bir zaman dilimi haline getirilmeye çalışılır.</w:t>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Normal"/>
              <w:widowControl w:val="false"/>
              <w:suppressAutoHyphens w:val="true"/>
              <w:spacing w:lineRule="auto" w:line="240" w:before="0" w:after="0"/>
              <w:jc w:val="left"/>
              <w:rPr>
                <w:lang w:eastAsia="tr-TR"/>
              </w:rPr>
            </w:pPr>
            <w:r>
              <w:rPr>
                <w:sz w:val="22"/>
                <w:lang w:eastAsia="tr-TR"/>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val="false"/>
              <w:suppressAutoHyphens w:val="true"/>
              <w:spacing w:lineRule="auto" w:line="240" w:before="0" w:after="0"/>
              <w:jc w:val="left"/>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Ayetler Işığında Erdemli Davranışlar</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Böylece ders, interaktif bir ortamda Müslümanlarda bulunması gereken doğru davranışların neler olduğu üzerinde düşünülen bir zaman dilimi haline getirilmeye çalışılır.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Kerim’den Kıssalar</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Ashab-ı Kiramdan Davranış Örnekleri</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Sahabelerin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Ayetler Işığında Yerilen Tutum ve Davranışlar</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belirlenen bir konu ile ilgili Kur’an-ı Kerim’de geçen ayetler tespit edilir. Ayetler ışığında işlenecek ders için, öğretici tarafından dersten önce kursiyerleri yönlendirecek sorular hazırlanır. Kursiyerlerin, günümüz örnekleriyle karşılaştırma yaparak konuyu değerlendirmeleri sağlanır. Böylece ders, interaktif bir ortamda Müslümanlarda bulunmaması gereken çirkin davranışların neler olduğu üzerinde düşünülen bir zaman dilimi haline getirilmeye çalışılır.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(SİYER-AHLÂK)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(SİYER-AHLÂK)2.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SİYER-AHLÂK</w:t>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Hz. Peygamber ve Davranış Örnekleri</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interaktif bir ortamda Müslümanlarda bulunması gereken doğru davranışların neler olduğu üzerinde düşünülen bir zaman dilimi haline getirilmeye çalışılır.</w:t>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Normal"/>
              <w:widowControl w:val="false"/>
              <w:suppressAutoHyphens w:val="true"/>
              <w:spacing w:lineRule="auto" w:line="240" w:before="0" w:after="0"/>
              <w:jc w:val="left"/>
              <w:rPr>
                <w:lang w:eastAsia="tr-TR"/>
              </w:rPr>
            </w:pPr>
            <w:r>
              <w:rPr>
                <w:sz w:val="22"/>
                <w:lang w:eastAsia="tr-TR"/>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val="false"/>
              <w:suppressAutoHyphens w:val="true"/>
              <w:spacing w:lineRule="auto" w:line="240" w:before="0" w:after="0"/>
              <w:jc w:val="left"/>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Ayetler Işığında Erdemli Davranışlar</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Böylece ders, interaktif bir ortamda Müslümanlarda bulunması gereken doğru davranışların neler olduğu üzerinde düşünülen bir zaman dilimi haline getirilmeye çalışılır.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Kerim’den Kıssalar</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Ashab-ı Kiramdan Davranış Örnekleri</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Sahabelerin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Ayetler Işığında Yerilen Tutum ve Davranışlar</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belirlenen bir konu ile ilgili Kur’an-ı Kerim’de geçen ayetler tespit edilir. Ayetler ışığında işlenecek ders için, öğretici tarafından dersten önce kursiyerleri yönlendirecek sorular hazırlanır. Kursiyerlerin, günümüz örnekleriyle karşılaştırma yaparak konuyu değerlendirmeleri sağlanır. Böylece ders, interaktif bir ortamda Müslümanlarda bulunmaması gereken çirkin davranışların neler olduğu üzerinde düşünülen bir zaman dilimi haline getirilmeye çalışılır.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(SİYER-AHLÂK) DERSİ DERS PLANI</w:t>
      </w:r>
      <w:bookmarkStart w:id="0" w:name="_GoBack"/>
      <w:bookmarkEnd w:id="0"/>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29"/>
        <w:gridCol w:w="667"/>
        <w:gridCol w:w="2978"/>
        <w:gridCol w:w="7087"/>
        <w:gridCol w:w="1932"/>
        <w:gridCol w:w="1804"/>
        <w:gridCol w:w="222"/>
      </w:tblGrid>
      <w:tr>
        <w:trPr>
          <w:trHeight w:val="268" w:hRule="atLeast"/>
        </w:trPr>
        <w:tc>
          <w:tcPr>
            <w:tcW w:w="15326" w:type="dxa"/>
            <w:gridSpan w:val="7"/>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(SİYER-AHLÂK)3. KUR</w:t>
            </w:r>
          </w:p>
        </w:tc>
        <w:tc>
          <w:tcPr>
            <w:tcW w:w="222" w:type="dxa"/>
            <w:tcBorders>
              <w:top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r>
      <w:tr>
        <w:trPr>
          <w:trHeight w:val="847" w:hRule="atLeast"/>
          <w:cantSplit w:val="true"/>
        </w:trPr>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29"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7" w:type="dxa"/>
            <w:tcBorders/>
            <w:textDirection w:val="btLr"/>
            <w:vAlign w:val="center"/>
          </w:tcPr>
          <w:p>
            <w:pPr>
              <w:pStyle w:val="Normal"/>
              <w:widowControl w:val="false"/>
              <w:suppressAutoHyphens w:val="true"/>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7"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2"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SİYER-AHLÂK</w:t>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Hz. Peygamber ve Davranış Örnekleri</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interaktif bir ortamda Müslümanlarda bulunması gereken doğru davranışların neler olduğu üzerinde düşünülen bir zaman dilimi haline getirilmeye çalışılır.</w:t>
            </w:r>
          </w:p>
        </w:tc>
        <w:tc>
          <w:tcPr>
            <w:tcW w:w="1932" w:type="dxa"/>
            <w:vMerge w:val="restart"/>
            <w:tcBorders/>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4"/>
                <w:szCs w:val="14"/>
              </w:rPr>
            </w:pPr>
            <w:r>
              <w:rPr>
                <w:rFonts w:cs="Times New Roman" w:cstheme="majorBidi" w:ascii="Times New Roman" w:hAnsi="Times New Roman"/>
                <w:sz w:val="22"/>
                <w:szCs w:val="14"/>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Normal"/>
              <w:widowControl w:val="false"/>
              <w:suppressAutoHyphens w:val="true"/>
              <w:spacing w:lineRule="auto" w:line="240" w:before="0" w:after="0"/>
              <w:jc w:val="left"/>
              <w:rPr>
                <w:lang w:eastAsia="tr-TR"/>
              </w:rPr>
            </w:pPr>
            <w:r>
              <w:rPr>
                <w:sz w:val="22"/>
                <w:lang w:eastAsia="tr-TR"/>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val="false"/>
              <w:numPr>
                <w:ilvl w:val="0"/>
                <w:numId w:val="0"/>
              </w:numPr>
              <w:suppressAutoHyphens w:val="true"/>
              <w:spacing w:before="0" w:after="0"/>
              <w:ind w:left="0" w:hanging="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val="false"/>
              <w:numPr>
                <w:ilvl w:val="0"/>
                <w:numId w:val="0"/>
              </w:numPr>
              <w:suppressAutoHyphens w:val="true"/>
              <w:spacing w:before="0" w:after="0"/>
              <w:ind w:left="0" w:hanging="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val="false"/>
              <w:suppressAutoHyphens w:val="true"/>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val="false"/>
              <w:suppressAutoHyphens w:val="true"/>
              <w:spacing w:lineRule="auto" w:line="240" w:before="0" w:after="0"/>
              <w:jc w:val="left"/>
              <w:rPr>
                <w:lang w:eastAsia="tr-TR"/>
              </w:rPr>
            </w:pPr>
            <w:r>
              <w:rPr>
                <w:sz w:val="22"/>
                <w:lang w:eastAsia="tr-TR"/>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Ayetler Işığında Erdemli Davranışlar</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Böylece ders, interaktif bir ortamda Müslümanlarda bulunması gereken doğru davranışların neler olduğu üzerinde düşünülen bir zaman dilimi haline getirilmeye çalışılır.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Kerim’den Kıssalar</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Ashab-ı Kiramdan Davranış Örnekleri</w:t>
            </w:r>
          </w:p>
        </w:tc>
        <w:tc>
          <w:tcPr>
            <w:tcW w:w="7087" w:type="dxa"/>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Sahabelerin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restart"/>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Ayetler Işığında Yerilen Tutum ve Davranışlar</w:t>
            </w:r>
          </w:p>
        </w:tc>
        <w:tc>
          <w:tcPr>
            <w:tcW w:w="7087" w:type="dxa"/>
            <w:vMerge w:val="restart"/>
            <w:tcBorders/>
          </w:tcPr>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cs="TimesNewRomanPSMT" w:ascii="TimesNewRomanPSMT" w:hAnsi="TimesNewRomanPSMT"/>
                <w:sz w:val="22"/>
                <w:szCs w:val="16"/>
              </w:rPr>
            </w:r>
          </w:p>
          <w:p>
            <w:pPr>
              <w:pStyle w:val="Normal"/>
              <w:widowControl w:val="false"/>
              <w:suppressAutoHyphens w:val="true"/>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belirlenen bir konu ile ilgili Kur’an-ı Kerim’de geçen ayetler tespit edilir. Ayetler ışığında işlenecek ders için, öğretici tarafından dersten önce kursiyerleri yönlendirecek sorular hazırlanır. Kursiyerlerin, günümüz örnekleriyle karşılaştırma yaparak konuyu değerlendirmeleri sağlanır. Böylece ders, interaktif bir ortamda Müslümanlarda bulunmaması gereken çirkin davranışların neler olduğu üzerinde düşünülen bir zaman dilimi haline getirilmeye çalışılır.</w:t>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29" w:type="dxa"/>
            <w:tcBorders/>
            <w:vAlign w:val="center"/>
          </w:tcPr>
          <w:p>
            <w:pPr>
              <w:pStyle w:val="Normal"/>
              <w:widowControl w:val="false"/>
              <w:suppressAutoHyphens w:val="true"/>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2978"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asciiTheme="majorBidi" w:cstheme="majorBidi" w:hAnsiTheme="majorBidi"/>
                <w:sz w:val="16"/>
                <w:szCs w:val="16"/>
              </w:rPr>
            </w:pPr>
            <w:r>
              <w:rPr>
                <w:rFonts w:cs="Times New Roman" w:cstheme="majorBidi" w:ascii="Times New Roman" w:hAnsi="Times New Roman"/>
                <w:sz w:val="22"/>
                <w:szCs w:val="16"/>
              </w:rPr>
            </w:r>
          </w:p>
        </w:tc>
        <w:tc>
          <w:tcPr>
            <w:tcW w:w="7087"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932" w:type="dxa"/>
            <w:vMerge w:val="continue"/>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1804" w:type="dxa"/>
            <w:tcBorders/>
          </w:tcPr>
          <w:p>
            <w:pPr>
              <w:pStyle w:val="Normal"/>
              <w:widowControl w:val="false"/>
              <w:suppressAutoHyphens w:val="true"/>
              <w:spacing w:lineRule="auto" w:line="240" w:before="0" w:after="0"/>
              <w:jc w:val="center"/>
              <w:rPr>
                <w:rFonts w:ascii="Times New Roman" w:hAnsi="Times New Roman" w:cs="Times New Roman"/>
                <w:sz w:val="16"/>
                <w:szCs w:val="16"/>
              </w:rPr>
            </w:pPr>
            <w:r>
              <w:rPr>
                <w:rFonts w:cs="Times New Roman" w:ascii="Times New Roman" w:hAnsi="Times New Roman"/>
                <w:sz w:val="22"/>
                <w:szCs w:val="16"/>
              </w:rPr>
            </w:r>
          </w:p>
        </w:tc>
        <w:tc>
          <w:tcPr>
            <w:tcW w:w="22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sectPr>
      <w:headerReference w:type="default" r:id="rId2"/>
      <w:type w:val="nextPage"/>
      <w:pgSz w:orient="landscape" w:w="16838" w:h="11906"/>
      <w:pgMar w:left="720" w:right="720" w:gutter="0" w:header="568" w:top="625" w:footer="0" w:bottom="28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imesNewRomanPSMT">
    <w:charset w:val="01"/>
    <w:family w:val="roman"/>
    <w:pitch w:val="variable"/>
  </w:font>
  <w:font w:name="TimesNewRomanPS-BoldM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2bad"/>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6">
    <w:name w:val="Heading 6"/>
    <w:basedOn w:val="Normal"/>
    <w:next w:val="Normal"/>
    <w:link w:val="Balk6Char"/>
    <w:qFormat/>
    <w:rsid w:val="00530230"/>
    <w:pPr>
      <w:keepNext w:val="true"/>
      <w:spacing w:lineRule="auto" w:line="240" w:before="0" w:after="0"/>
      <w:outlineLvl w:val="5"/>
    </w:pPr>
    <w:rPr>
      <w:rFonts w:ascii="Times New Roman" w:hAnsi="Times New Roman" w:eastAsia="Times New Roman" w:cs="Times New Roman"/>
      <w:b/>
      <w:bCs/>
      <w:sz w:val="12"/>
      <w:szCs w:val="12"/>
      <w:lang w:eastAsia="tr-TR"/>
    </w:rPr>
  </w:style>
  <w:style w:type="character" w:styleId="DefaultParagraphFont" w:default="1">
    <w:name w:val="Default Paragraph Font"/>
    <w:uiPriority w:val="1"/>
    <w:semiHidden/>
    <w:unhideWhenUsed/>
    <w:qFormat/>
    <w:rPr/>
  </w:style>
  <w:style w:type="character" w:styleId="Balk6Char" w:customStyle="1">
    <w:name w:val="Başlık 6 Char"/>
    <w:basedOn w:val="DefaultParagraphFont"/>
    <w:link w:val="Balk6"/>
    <w:qFormat/>
    <w:rsid w:val="00530230"/>
    <w:rPr>
      <w:rFonts w:ascii="Times New Roman" w:hAnsi="Times New Roman" w:eastAsia="Times New Roman" w:cs="Times New Roman"/>
      <w:b/>
      <w:bCs/>
      <w:sz w:val="12"/>
      <w:szCs w:val="12"/>
      <w:lang w:eastAsia="tr-TR"/>
    </w:rPr>
  </w:style>
  <w:style w:type="character" w:styleId="Strong">
    <w:name w:val="Strong"/>
    <w:basedOn w:val="DefaultParagraphFont"/>
    <w:qFormat/>
    <w:rsid w:val="00530230"/>
    <w:rPr>
      <w:b/>
      <w:bCs/>
    </w:rPr>
  </w:style>
  <w:style w:type="character" w:styleId="StbilgiChar" w:customStyle="1">
    <w:name w:val="Üstbilgi Char"/>
    <w:basedOn w:val="DefaultParagraphFont"/>
    <w:link w:val="stbilgi"/>
    <w:uiPriority w:val="99"/>
    <w:qFormat/>
    <w:rsid w:val="00026bf6"/>
    <w:rPr/>
  </w:style>
  <w:style w:type="character" w:styleId="AltbilgiChar" w:customStyle="1">
    <w:name w:val="Altbilgi Char"/>
    <w:basedOn w:val="DefaultParagraphFont"/>
    <w:link w:val="Altbilgi"/>
    <w:uiPriority w:val="99"/>
    <w:qFormat/>
    <w:rsid w:val="00026bf6"/>
    <w:rPr/>
  </w:style>
  <w:style w:type="character" w:styleId="BalonMetniChar" w:customStyle="1">
    <w:name w:val="Balon Metni Char"/>
    <w:basedOn w:val="DefaultParagraphFont"/>
    <w:link w:val="BalonMetni"/>
    <w:uiPriority w:val="99"/>
    <w:semiHidden/>
    <w:qFormat/>
    <w:rsid w:val="00026bf6"/>
    <w:rPr>
      <w:rFonts w:ascii="Tahoma" w:hAnsi="Tahoma" w:cs="Tahoma"/>
      <w:sz w:val="16"/>
      <w:szCs w:val="16"/>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530230"/>
    <w:pPr>
      <w:spacing w:lineRule="auto" w:line="240" w:before="0" w:after="0"/>
      <w:ind w:left="720" w:hanging="0"/>
      <w:contextualSpacing/>
    </w:pPr>
    <w:rPr>
      <w:rFonts w:ascii="Times New Roman" w:hAnsi="Times New Roman" w:eastAsia="Times New Roman" w:cs="Times New Roman"/>
      <w:sz w:val="24"/>
      <w:szCs w:val="24"/>
    </w:rPr>
  </w:style>
  <w:style w:type="paragraph" w:styleId="Stvealtbilgi">
    <w:name w:val="Üst ve alt bilgi"/>
    <w:basedOn w:val="Normal"/>
    <w:qFormat/>
    <w:pPr/>
    <w:rPr/>
  </w:style>
  <w:style w:type="paragraph" w:styleId="Stbilgi">
    <w:name w:val="Header"/>
    <w:basedOn w:val="Normal"/>
    <w:link w:val="stbilgiChar"/>
    <w:uiPriority w:val="99"/>
    <w:unhideWhenUsed/>
    <w:rsid w:val="00026bf6"/>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026bf6"/>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026bf6"/>
    <w:pPr>
      <w:spacing w:lineRule="auto" w:line="240" w:before="0" w:after="0"/>
    </w:pPr>
    <w:rPr>
      <w:rFonts w:ascii="Tahoma" w:hAnsi="Tahoma" w:cs="Tahoma"/>
      <w:sz w:val="16"/>
      <w:szCs w:val="16"/>
    </w:rPr>
  </w:style>
  <w:style w:type="paragraph" w:styleId="NoSpacing">
    <w:name w:val="No Spacing"/>
    <w:uiPriority w:val="1"/>
    <w:qFormat/>
    <w:rsid w:val="00ab73c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tr-TR" w:eastAsia="en-US" w:bidi="ar-SA"/>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 w:type="table" w:styleId="TabloKlavuzu">
    <w:name w:val="Table Grid"/>
    <w:basedOn w:val="NormalTablo"/>
    <w:uiPriority w:val="59"/>
    <w:rsid w:val="00216f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oKlavuzu1">
    <w:name w:val="Tablo Kılavuzu1"/>
    <w:basedOn w:val="NormalTablo"/>
    <w:uiPriority w:val="59"/>
    <w:rsid w:val="00ed47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33A7-1A78-4D1A-A5E4-D3D06428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Application>LibreOffice/7.2.4.1$Linux_X86_64 LibreOffice_project/27d75539669ac387bb498e35313b970b7fe9c4f9</Application>
  <AppVersion>15.0000</AppVersion>
  <Pages>15</Pages>
  <Words>3637</Words>
  <Characters>24872</Characters>
  <CharactersWithSpaces>28690</CharactersWithSpaces>
  <Paragraphs>755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2012-01-20T12:06:00Z</dcterms:created>
  <dc:creator>user</dc:creator>
  <dc:description/>
  <dc:language>tr-TR</dc:language>
  <cp:lastModifiedBy/>
  <cp:lastPrinted>2016-01-12T12:53:00Z</cp:lastPrinted>
  <dcterms:modified xsi:type="dcterms:W3CDTF">2022-10-11T10:44:39Z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